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4F506" w14:textId="77777777" w:rsidR="00273617" w:rsidRPr="00AA2459" w:rsidRDefault="00273617" w:rsidP="00273617">
      <w:pPr>
        <w:pStyle w:val="ListParagraph"/>
        <w:numPr>
          <w:ilvl w:val="0"/>
          <w:numId w:val="1"/>
        </w:numPr>
        <w:jc w:val="both"/>
        <w:rPr>
          <w:rFonts w:eastAsia="Times New Roman" w:cs="Times New Roman"/>
          <w:b/>
          <w:color w:val="0D0D0D" w:themeColor="text1" w:themeTint="F2"/>
          <w:sz w:val="28"/>
          <w:szCs w:val="28"/>
        </w:rPr>
      </w:pPr>
      <w:r w:rsidRPr="00AA2459">
        <w:rPr>
          <w:rFonts w:eastAsia="Times New Roman" w:cs="Times New Roman"/>
          <w:b/>
          <w:color w:val="0D0D0D" w:themeColor="text1" w:themeTint="F2"/>
          <w:sz w:val="28"/>
          <w:szCs w:val="28"/>
        </w:rPr>
        <w:t xml:space="preserve">«Το έργο της εκτίµησης των περιουσιών των ανταλλάξιµων προχωρούσε αργά»: α) Ποια λύση έδωσε το κράτος στο πρόβληµα; β) Ποιοι φορείς ενεπλάκησαν στη σχετική διαδικασία; </w:t>
      </w:r>
    </w:p>
    <w:p w14:paraId="1EF88E38" w14:textId="77777777" w:rsidR="00273617" w:rsidRPr="00AA2459" w:rsidRDefault="00273617" w:rsidP="00273617">
      <w:pPr>
        <w:pStyle w:val="ListParagraph"/>
        <w:numPr>
          <w:ilvl w:val="0"/>
          <w:numId w:val="1"/>
        </w:numPr>
        <w:jc w:val="both"/>
        <w:rPr>
          <w:rFonts w:eastAsia="Times New Roman" w:cs="Times New Roman"/>
          <w:b/>
          <w:color w:val="0D0D0D" w:themeColor="text1" w:themeTint="F2"/>
          <w:sz w:val="28"/>
          <w:szCs w:val="28"/>
        </w:rPr>
      </w:pPr>
      <w:r w:rsidRPr="00AA2459">
        <w:rPr>
          <w:rFonts w:eastAsia="Times New Roman" w:cs="Times New Roman"/>
          <w:b/>
          <w:color w:val="0D0D0D" w:themeColor="text1" w:themeTint="F2"/>
          <w:sz w:val="28"/>
          <w:szCs w:val="28"/>
        </w:rPr>
        <w:t xml:space="preserve">Να προσδιορίσετε τα αποτελέσµατα των ελληνοτουρκικών συµφωνιών του 1930. </w:t>
      </w:r>
    </w:p>
    <w:p w14:paraId="4074C62C" w14:textId="77777777" w:rsidR="00273617" w:rsidRPr="00AA2459" w:rsidRDefault="00273617" w:rsidP="00273617">
      <w:pPr>
        <w:pStyle w:val="ListParagraph"/>
        <w:numPr>
          <w:ilvl w:val="0"/>
          <w:numId w:val="1"/>
        </w:numPr>
        <w:jc w:val="both"/>
        <w:rPr>
          <w:rFonts w:eastAsia="Times New Roman" w:cs="Times New Roman"/>
          <w:b/>
          <w:sz w:val="28"/>
          <w:szCs w:val="28"/>
        </w:rPr>
      </w:pPr>
      <w:r w:rsidRPr="00AA2459">
        <w:rPr>
          <w:rFonts w:eastAsia="Times New Roman" w:cs="Times New Roman"/>
          <w:b/>
          <w:sz w:val="28"/>
          <w:szCs w:val="28"/>
        </w:rPr>
        <w:t xml:space="preserve">ΠΗΓΗ Οι πρόσφυγες είναι, κατά πλειοψηφία, αρχικά «βενιζελικοί» </w:t>
      </w:r>
    </w:p>
    <w:p w14:paraId="5AE3646E" w14:textId="77777777" w:rsidR="00273617" w:rsidRPr="00AA2459" w:rsidRDefault="00273617" w:rsidP="00273617">
      <w:pPr>
        <w:pStyle w:val="ListParagraph"/>
        <w:jc w:val="both"/>
        <w:rPr>
          <w:rFonts w:eastAsia="Times New Roman" w:cs="Times New Roman"/>
        </w:rPr>
      </w:pPr>
      <w:r w:rsidRPr="00AA2459">
        <w:rPr>
          <w:rFonts w:eastAsia="Times New Roman" w:cs="Times New Roman"/>
        </w:rPr>
        <w:t xml:space="preserve">Οι πρόσφυγες, προς έκδηλη δυσαρέσκεια των πιο συντηρητικών στοιχείων του αυτόχθονος πληθυσµού, ήταν πολυπληθείς και συµπαγώς εγκαταστηµένοι, ώστε να δρουν ως ρυθµιστές της πολιτικής ζωής στη διάρκεια του µεσοπολέµου. Μερικοί από τους µη προνοµιούχους ήταν επηρεασµένοι ιδεολογικά από τα επαναστατικά δόγµατα του Κοµµουνιστικού Κόµµατος της Ελλάδας (ΚΚΕ), το οποίο είχε ιδρυθεί πρόσφατα (το 1918) και ορισµένοι από τους ηγέτες του κατάγονταν από την Ανατολία. Παρά τις µεγάλες στερήσεις όµως η απήχηση του κοµµουνισµού θα παρεµποδιζόταν σηµαντικά από την εµµονή της Κοµιντέρν (µεταξύ 1924 και 1935) το ελληνικό κόµµα να υποστηρίζει την ιδέα ενός αυτόνοµου Μακεδονικού κράτους, η δηµιουργία του οποίου θα είχε ως επακόλουθο την απόσπαση µιας µεγάλης περιοχής της Βόρειας Ελλάδας. Από τους νεοεγκατεστηµένους πρόσφυγες των οποίων η ζωή είχε ήδη αναστατωθεί µια φορά, λίγοι ήταν διατεθειµένοι να ξαναζήσουν αυτή την εµπειρία. Στην συντριπτική τους πλειοψηφία οι πρόσφυγες παρέµειναν πιστοί στον Ελευθέριο Βενιζέλο, το χαρισµατικό οραµατιστή µιας Μεγάλης Ελλάδας και επίδοξο ελευθερωτή τους. Το αλυτρωτικό του όραµα είχε τώρα καταρρεύσει, αλλά αυτό ερµηνευόταν απόλυτα µε την προδοσία της εσωτερικής αντίδρασης και τις µηχανορραφίες εξωτερικών δυνάµεων. Αυτή η αφοσίωση επιβίωσε και µετά την προσέγγιση Βενιζέλου και Κεµάλ Ατατούρκ το 1930, η οποία επιτεύχθηκε µόνο µε ουσιώδεις ελληνικές παραχωρήσεις στο ζήτηµα των αποζηµιώσεων για την τεράστια ακίνητη περιουσία που άφησαν πίσω τους οι πρόσφυγες, φεύγοντας από την Τουρκία. Οι πρόσφυγες ψήφισαν σε µεγάλο ποσοστό υπέρ της κατάργησης της µοναρχίας στο δηµοψήφισµα του 1924, το οποίο έφερε αποτέλεσµα 70% (758.472 έναντι 325.322 ψήφων) υπέρ της δηµοκρατίας. </w:t>
      </w:r>
    </w:p>
    <w:p w14:paraId="6090BB68" w14:textId="77777777" w:rsidR="00273617" w:rsidRPr="00AA2459" w:rsidRDefault="00273617" w:rsidP="00273617">
      <w:pPr>
        <w:pStyle w:val="ListParagraph"/>
        <w:ind w:left="2160"/>
        <w:rPr>
          <w:rFonts w:eastAsia="Times New Roman" w:cs="Times New Roman"/>
          <w:sz w:val="20"/>
          <w:szCs w:val="20"/>
        </w:rPr>
      </w:pPr>
      <w:r w:rsidRPr="00AA2459">
        <w:rPr>
          <w:rFonts w:eastAsia="Times New Roman" w:cs="Times New Roman"/>
        </w:rPr>
        <w:t xml:space="preserve">      </w:t>
      </w:r>
      <w:r w:rsidRPr="00AA2459">
        <w:rPr>
          <w:rFonts w:eastAsia="Times New Roman" w:cs="Times New Roman"/>
          <w:sz w:val="20"/>
          <w:szCs w:val="20"/>
        </w:rPr>
        <w:t xml:space="preserve">R. Clogg, Συνοπτική Ιστορία της Ελλάδας 1770-1990, Αθήνα 1995, σσ. 111-112 </w:t>
      </w:r>
    </w:p>
    <w:p w14:paraId="2B7270C1" w14:textId="77777777" w:rsidR="00273617" w:rsidRPr="00AA2459" w:rsidRDefault="00273617" w:rsidP="00273617">
      <w:pPr>
        <w:pStyle w:val="ListParagraph"/>
        <w:rPr>
          <w:rFonts w:eastAsia="Times New Roman" w:cs="Times New Roman"/>
        </w:rPr>
      </w:pPr>
    </w:p>
    <w:p w14:paraId="605C6C23" w14:textId="77777777" w:rsidR="00273617" w:rsidRPr="00AA2459" w:rsidRDefault="00273617" w:rsidP="00273617">
      <w:pPr>
        <w:jc w:val="both"/>
        <w:rPr>
          <w:rFonts w:eastAsia="Times New Roman" w:cs="Times New Roman"/>
          <w:b/>
          <w:sz w:val="28"/>
          <w:szCs w:val="28"/>
        </w:rPr>
      </w:pPr>
      <w:r w:rsidRPr="00AA2459">
        <w:rPr>
          <w:rFonts w:eastAsia="Times New Roman" w:cs="Times New Roman"/>
          <w:b/>
          <w:sz w:val="28"/>
          <w:szCs w:val="28"/>
        </w:rPr>
        <w:t xml:space="preserve">Αφού µελετήσετε την παραπάνω πηγή να αναφέρετε τους παράγοντες που συνέβαλαν στη διαµόρφωση των πολιτικών πεποιθήσεων των προσφύγων. </w:t>
      </w:r>
    </w:p>
    <w:p w14:paraId="54AD5441" w14:textId="77777777" w:rsidR="00273617" w:rsidRPr="00AA2459" w:rsidRDefault="00273617" w:rsidP="00273617">
      <w:pPr>
        <w:rPr>
          <w:rFonts w:eastAsia="Times New Roman" w:cs="Times New Roman"/>
        </w:rPr>
      </w:pPr>
    </w:p>
    <w:p w14:paraId="18861DC7" w14:textId="77777777" w:rsidR="00273617" w:rsidRPr="00AA2459" w:rsidRDefault="00273617" w:rsidP="00273617">
      <w:pPr>
        <w:pStyle w:val="ListParagraph"/>
        <w:numPr>
          <w:ilvl w:val="0"/>
          <w:numId w:val="1"/>
        </w:numPr>
        <w:rPr>
          <w:rFonts w:eastAsia="Times New Roman" w:cs="Times New Roman"/>
          <w:sz w:val="28"/>
          <w:szCs w:val="28"/>
        </w:rPr>
      </w:pPr>
      <w:r w:rsidRPr="00AA2459">
        <w:rPr>
          <w:rFonts w:eastAsia="Times New Roman" w:cs="Times New Roman"/>
          <w:sz w:val="28"/>
          <w:szCs w:val="28"/>
        </w:rPr>
        <w:t xml:space="preserve">ΠΗΓΗ: Η ελληνοτουρκική προσέγγιση (1930) </w:t>
      </w:r>
    </w:p>
    <w:p w14:paraId="6C311ECD" w14:textId="77777777" w:rsidR="00273617" w:rsidRPr="00AA2459" w:rsidRDefault="00273617" w:rsidP="00273617">
      <w:pPr>
        <w:pStyle w:val="ListParagraph"/>
        <w:jc w:val="both"/>
        <w:rPr>
          <w:rFonts w:eastAsia="Times New Roman" w:cs="Times New Roman"/>
        </w:rPr>
      </w:pPr>
      <w:r w:rsidRPr="00AA2459">
        <w:rPr>
          <w:rFonts w:eastAsia="Times New Roman" w:cs="Times New Roman"/>
        </w:rPr>
        <w:t xml:space="preserve">Η σύµβασις της 10ης Ιουνίου 1930 υπέστη δριµύτατην κριτικήν εκ µέρους της αντιπολιτεύσεως. Οι Τσαλδάρης και Καφαντάρης έψεξαν τον Βενιζέλον, ότι προέβη εις παραχωρήσεις, χωρίς να λάβη πολιτικά ανταλλάγµατα. Ο Βενιζέλος ηµφεσβήτησεν ότι η Ελλάς υπέστη θυσίας διά της συµφωνίας. Ηµφεσβήτησεν ότι η αξία των εγκαταλειφθεισών περιουσιών υπό των Ελλήνων εις Τουρκίαν ήτο µεγαλυτέρα από την αξίαν των εγκαταλειφθεισών υπό των Τούρκων. Υπεστήριξεν ότι και εξωγκωµένα ενεφανίζοντο υπό των δικαιούχων τα ενεργητικά, ότι η αξία των εγκαταλειφθεισών περιουσιών εξέπεσε µετά την αναχώρησιν του ελληνικού στοιχείου, ότι αι ελληνικαί περιουσίαι εν Τουρκία απετελούντο από κινητάς αξίας, κατά το πλείστον, αι οποίαι δεν επροστατεύοντο από την Συνθήκην της Λωζάννης, ενώ, αντιθέτως, αι εν Ελλάδι τουρκικαί ήσαν αποκλειστικώς ακίνητοι. </w:t>
      </w:r>
    </w:p>
    <w:p w14:paraId="33779190" w14:textId="77777777" w:rsidR="00273617" w:rsidRPr="00AA2459" w:rsidRDefault="00273617" w:rsidP="00273617">
      <w:pPr>
        <w:pStyle w:val="ListParagraph"/>
        <w:jc w:val="both"/>
        <w:rPr>
          <w:rFonts w:eastAsia="Times New Roman" w:cs="Times New Roman"/>
        </w:rPr>
      </w:pPr>
      <w:r w:rsidRPr="00AA2459">
        <w:rPr>
          <w:rFonts w:eastAsia="Times New Roman" w:cs="Times New Roman"/>
        </w:rPr>
        <w:t xml:space="preserve">Τέλος, και αυτό ήτο το σοβαρώτερον επιχείρηµα, ετόνισεν ότι, ως προέκυψεν από την πείρα επτά ετών, η εκτίµησις των εκατέρωθεν περιουσιών θα απήτει πολλάς δεκαετίας, χωρίς και να είναι βέβαιον ότι το αποτέλεσµα της εκτιµήσεως θα ήτο ευνοϊκόν δια την </w:t>
      </w:r>
      <w:r w:rsidRPr="00AA2459">
        <w:rPr>
          <w:rFonts w:eastAsia="Times New Roman" w:cs="Times New Roman"/>
        </w:rPr>
        <w:lastRenderedPageBreak/>
        <w:t xml:space="preserve">Ελλάδα. Εις την επίκρισιν του Τσαλδάρη, ότι δεν ελήφθη πρόνοια προστασίας των ελληνικών µειονοτήτων εν Τουρκία, απήντησεν ότι «οι Έλληνες της Τουρκίας, είτε ραγιάδες, είτε πολίται Έλληνες, θα τύχουν υποστηρίξεως εκ µέρους της τουρκικής κυβερνήσεως, αναλόγως προς την ανάπτυξιν των φιλικών και στενών σχέσεων µεταξύ των δύο κρατών». </w:t>
      </w:r>
    </w:p>
    <w:p w14:paraId="0D181B28" w14:textId="77777777" w:rsidR="00273617" w:rsidRPr="00AA2459" w:rsidRDefault="00273617" w:rsidP="00273617">
      <w:pPr>
        <w:pStyle w:val="ListParagraph"/>
        <w:jc w:val="both"/>
        <w:rPr>
          <w:rFonts w:eastAsia="Times New Roman" w:cs="Times New Roman"/>
        </w:rPr>
      </w:pPr>
      <w:r w:rsidRPr="00AA2459">
        <w:rPr>
          <w:rFonts w:eastAsia="Times New Roman" w:cs="Times New Roman"/>
        </w:rPr>
        <w:t xml:space="preserve">Ως προς το πολιτικόν αντάλλαγµα, υπεσχέθη ότι τούτο δεν θα εβράδυνε να δοθή. Ο Βενιζέλος, εξ άλλου, ηρνήθη να δεχθή την αξίωσιν που διετύπωσαν ωρισµένοι προσφυγικοί κύκλοι, όπως το ελληνικόν κράτος υποκατασταθή εις όλας τας υποχρεώσεις τας οποίας η Τουρκία υπείχεν εκ της συµβάσεως περί ανταλλαγής ως προς την ανταλλάξιµον περιουσίαν. Εις την συνεδρίασιν της Βουλής της 25ης Ιουνίου 1930, κατά την οποίαν εξέθεσεν εν όλη του τη εκτάσει το προσφυγικόν ζήτηµα, απέδειξεν ότι οι πρόσφυγες είχον λάβει κατά µέσον όρον τα 15% της εν Τουρκία περιουσίας των, ότι τοις εξησφαλίσθη η απόκτησις στέγης και ότι δια την αποκατάστασιν και περίθαλψίν των το κράτος είχε δαπανήσει 30.290 εκατοµµύρια δραχµών, δηλαδή περί τα 80 εκατοµµύρια χρυσών λιρών. Ο Βενιζέλος, κατά την συνεδρίασιν ταύτην, υπεστήριξεν ότι η Ελλάς ανέλαβε δια της συνθήκης περί ανταλλαγής την υποχρέωσιν να χρησιµοποιήση την εις το έδαφός της ανταλλάξιµον περιουσίαν δια την αποζηµίωσιν των προσφύγων και ότι την υποχρέωσίν της ταύτην την εξεπλήρωσεν. </w:t>
      </w:r>
    </w:p>
    <w:p w14:paraId="70D678D6" w14:textId="77777777" w:rsidR="00273617" w:rsidRPr="00AA2459" w:rsidRDefault="00273617" w:rsidP="00273617">
      <w:pPr>
        <w:pStyle w:val="ListParagraph"/>
        <w:jc w:val="both"/>
        <w:rPr>
          <w:rFonts w:eastAsia="Times New Roman" w:cs="Times New Roman"/>
        </w:rPr>
      </w:pPr>
      <w:r w:rsidRPr="00AA2459">
        <w:rPr>
          <w:rFonts w:eastAsia="Times New Roman" w:cs="Times New Roman"/>
        </w:rPr>
        <w:t xml:space="preserve">Αλλ’ οσονδήποτε και αν ήτο επαχθής δια την Ελλάδα η σύµβασις της 10ης Ιουνίου, τίποτε το καλύτερον δεν ηµπορούσε να πραγµατοποιηθή. Η Τουρκία εζήτει, ευθύς εξ αρχής, τον πλήρη συµψηφισµόν. Η Ελλάς αντεπρότεινεν όπως τα ουδέτερα µέλη της Μικτής Επιτροπής Ανταλλαγής αναλάβουν την εφαρµογήν συνοπτικού και συνολικού συστήµατος εκτιµήσεως. Η τουρκική κυβέρνησις απεδέχθη, τελικώς, την ελληνικήν πρότασιν, τα ουδέτερα δε µέλη υπέδειξαν τον γενικό συµψηφισµόν. Να ηρνείτο η Ελλάς την υπόδειξιν ταύτην; </w:t>
      </w:r>
    </w:p>
    <w:p w14:paraId="6EE6A97E" w14:textId="77777777" w:rsidR="00273617" w:rsidRPr="00AA2459" w:rsidRDefault="00273617" w:rsidP="00273617">
      <w:pPr>
        <w:pStyle w:val="ListParagraph"/>
        <w:jc w:val="both"/>
        <w:rPr>
          <w:rFonts w:eastAsia="Times New Roman" w:cs="Times New Roman"/>
        </w:rPr>
      </w:pPr>
      <w:r w:rsidRPr="00AA2459">
        <w:rPr>
          <w:rFonts w:eastAsia="Times New Roman" w:cs="Times New Roman"/>
        </w:rPr>
        <w:t xml:space="preserve">Η τουρκική κυβέρνησις δεν είχε κανένα λόγο να βιάζεται. Αντιθέτως, η εκκρεµότης της έδιδε την ευκαιρίαν να δυσχεραίνη ακόµη περισσότερον την θέσιν των 110.000 Ελλήνων της Κωνσταντινουπόλεως, οι οποίοι θα εξηναγκάζοντο να καταφύγουν εις την Ελλάδα. Θα ηµπορούσαµεν να υποστώµεν το νέον αυτό προσφυγικόν κύµα; Και ήτο συµφέρον να κενωθή η Κωνσταντινούπολις από τους Έλληνας, έναντι της αβέβαιας προοπτικής που παρείχεν η παράτασις της εκκρεµότητος επί του ζητήµατος των εκτιµήσεων; Ο Ελ. Βενιζέλος δεν ανήκεν εις την κατηγορίαν των ανθρώπων που εδίσταζον να αναλάβουν ευθύνας. Άλλωστε, όταν η Ελλάς είχε βαστάσει το βάρος της Μικρασιατικής καταστροφής, όταν είχεν υποστή τόσας θυσίας εις άψυχον και έµψυχον υλικόν, ποίαν αξίαν ηµπορούσαν να έχουν µερικαί εκατοντάδες χιλιάδων λιρών, όταν δια της θυσίας αυτής επετυγχάνετο ένας ευρύτερος διακανονισµός των ελληνοτουρκικών σχέσεων, εγεφυρούτο το από αιώνων χάσµα µεταξύ των δύο λαών και το Αιγαίον πέλαγος µετετρέπετο από χωριστικόν όριον εις συνδέουσαν γέφυραν; </w:t>
      </w:r>
    </w:p>
    <w:p w14:paraId="22013B70" w14:textId="77777777" w:rsidR="00273617" w:rsidRPr="00AA2459" w:rsidRDefault="00273617" w:rsidP="00273617">
      <w:pPr>
        <w:pStyle w:val="ListParagraph"/>
        <w:jc w:val="both"/>
        <w:rPr>
          <w:rFonts w:eastAsia="Times New Roman" w:cs="Times New Roman"/>
          <w:sz w:val="20"/>
          <w:szCs w:val="20"/>
        </w:rPr>
      </w:pPr>
      <w:r w:rsidRPr="00AA2459">
        <w:rPr>
          <w:rFonts w:eastAsia="Times New Roman" w:cs="Times New Roman"/>
        </w:rPr>
        <w:t xml:space="preserve">Εάν ο Βενιζέλος δεν ανελάµβανε την ευθύνην της οριστικής εκκαθαρίσεως του κυκεώνος των οικονοµικών διαµφισβητήσεων µεταξύ των δύο χωρών, εάν άφηνε τα πράγµατα να κυλούν όπως προέβλεπον αι µέχρι τότε συµβάσεις, αι ελληνοτουρκικαί σχέσεις καθηµερινώς θα εδηλητηριάζοντο, η καχυποψία αµοιβαίως θα εγένετο εντονωτέρα, η προσφυγή εις τους εξοπλισµούς θα καθίστατο αναπόφευκτος, µε αποτέλεσµα την επιβάρυνσιν της Ελλάδος δια ποσών θετικώς µεγαλύτερων από την αρνητικήν ζηµίαν που υπέστη δια της παραιτήσεως από µιας αξιώσεως αµφιβόλου βασιµότητος. Το θέµα ήτο: Εσύµφερεν ή όχι την Ελλάδα να λησµονήση το παρελθόν και να επιδιώξη ειλικρινώς την αποκατάστασιν φιλικών σχέσεων µε την Τουρκίαν; Εσύµφερεν ή όχι να µεταβληθή ο προαιώνιος εχθρός εις φίλον; Εφ’ όσον η απάντησις εις το ερώτηµα τούτο θα ήτο καταφατική, η συµφωνία της 10ης Ιουνίου παρουσιάζετο ως το καλύτερον δυνατόν πρώτον βήµα δια την συµφιλίωσιν µε την Τουρκίαν. Οι επικριταί, άλλωστε, του Βενιζέλου, όπως απέδειξεν η µετά ταύτα πολιτική των, επίστευον ότι η συµφωνία εκείνη ήτο κατά βάσιν ορθή. Το επιστέγασµα της επελθούσης συνεννοήσεως ήτο το ταξίδιον του Έλληνος πρωθυπουργού εις Άγκυραν, κατόπιν προσκλήσεως της τουρκικής κυβερνήσεως, και η υπογραφή του συµφώνου φιλίας, ουδετερότητος και διατησίας. </w:t>
      </w:r>
    </w:p>
    <w:p w14:paraId="24520A7C" w14:textId="77777777" w:rsidR="00273617" w:rsidRPr="00AA2459" w:rsidRDefault="00273617" w:rsidP="00273617">
      <w:pPr>
        <w:ind w:left="720"/>
        <w:jc w:val="both"/>
        <w:rPr>
          <w:rFonts w:eastAsia="Times New Roman" w:cs="Times New Roman"/>
          <w:sz w:val="20"/>
          <w:szCs w:val="20"/>
        </w:rPr>
      </w:pPr>
      <w:r w:rsidRPr="00AA2459">
        <w:rPr>
          <w:rFonts w:eastAsia="Times New Roman" w:cs="Times New Roman"/>
          <w:sz w:val="20"/>
          <w:szCs w:val="20"/>
        </w:rPr>
        <w:t xml:space="preserve">Γρ. ∆αφνή, Η Ελλάς µεταξύ δύο πολέµων (1923-1940), τόµ. Β΄, εκδ. Κάκτος, Αθήνα 1997, σσ. 66-68 </w:t>
      </w:r>
    </w:p>
    <w:p w14:paraId="7A6905DE" w14:textId="77777777" w:rsidR="00273617" w:rsidRPr="00AA2459" w:rsidRDefault="00273617" w:rsidP="00273617">
      <w:pPr>
        <w:ind w:left="360"/>
        <w:jc w:val="both"/>
        <w:rPr>
          <w:rFonts w:eastAsia="Times New Roman" w:cs="Times New Roman"/>
        </w:rPr>
      </w:pPr>
    </w:p>
    <w:p w14:paraId="2A131926" w14:textId="77777777" w:rsidR="00AA2459" w:rsidRDefault="00273617" w:rsidP="00273617">
      <w:pPr>
        <w:ind w:left="360"/>
        <w:jc w:val="both"/>
        <w:rPr>
          <w:rFonts w:eastAsia="Times New Roman" w:cs="Times New Roman"/>
          <w:b/>
          <w:color w:val="0D0D0D" w:themeColor="text1" w:themeTint="F2"/>
          <w:sz w:val="28"/>
          <w:szCs w:val="28"/>
        </w:rPr>
      </w:pPr>
      <w:r w:rsidRPr="00AA2459">
        <w:rPr>
          <w:rFonts w:eastAsia="Times New Roman" w:cs="Times New Roman"/>
          <w:b/>
          <w:color w:val="0D0D0D" w:themeColor="text1" w:themeTint="F2"/>
          <w:sz w:val="28"/>
          <w:szCs w:val="28"/>
        </w:rPr>
        <w:t>Αφού µελετήσετε την παραπάνω πηγή και µε βάση την αφήγηση του σχολικού σας βιβλίου, να επισηµάνετε τα επιχειρήµατα που χρησιµοποίησε ο Ελ. Βενιζέλος για να υποστηρίξει τις θέσεις του σχετικά µε την ελληνοτουρκική προσέγγιση (Σύµβαση 10ης Ιουνίου 1930)</w:t>
      </w:r>
      <w:r w:rsidR="00AA2459">
        <w:rPr>
          <w:rFonts w:eastAsia="Times New Roman" w:cs="Times New Roman"/>
          <w:b/>
          <w:color w:val="0D0D0D" w:themeColor="text1" w:themeTint="F2"/>
          <w:sz w:val="28"/>
          <w:szCs w:val="28"/>
        </w:rPr>
        <w:t>.</w:t>
      </w:r>
    </w:p>
    <w:p w14:paraId="39B89841" w14:textId="77777777" w:rsidR="00AA2459" w:rsidRDefault="00AA2459" w:rsidP="00273617">
      <w:pPr>
        <w:ind w:left="360"/>
        <w:jc w:val="both"/>
        <w:rPr>
          <w:rFonts w:eastAsia="Times New Roman" w:cs="Times New Roman"/>
          <w:b/>
          <w:color w:val="0D0D0D" w:themeColor="text1" w:themeTint="F2"/>
          <w:sz w:val="28"/>
          <w:szCs w:val="28"/>
        </w:rPr>
      </w:pPr>
    </w:p>
    <w:p w14:paraId="79B5BA18" w14:textId="77777777" w:rsidR="00AA2459" w:rsidRPr="00AA2459" w:rsidRDefault="00AA2459" w:rsidP="00AA2459">
      <w:pPr>
        <w:pStyle w:val="ListParagraph"/>
        <w:numPr>
          <w:ilvl w:val="0"/>
          <w:numId w:val="1"/>
        </w:numPr>
        <w:rPr>
          <w:rFonts w:eastAsia="Times New Roman" w:cs="Times New Roman"/>
          <w:sz w:val="28"/>
          <w:szCs w:val="28"/>
          <w:lang w:val="en-US"/>
        </w:rPr>
      </w:pPr>
      <w:r w:rsidRPr="00AA2459">
        <w:rPr>
          <w:rFonts w:eastAsia="Times New Roman" w:cs="Times New Roman"/>
          <w:sz w:val="28"/>
          <w:szCs w:val="28"/>
          <w:lang w:val="en-US"/>
        </w:rPr>
        <w:t xml:space="preserve">ΠΗΓΗ </w:t>
      </w:r>
    </w:p>
    <w:p w14:paraId="4BB12BAC" w14:textId="77777777" w:rsidR="00AA2459" w:rsidRPr="00AA2459" w:rsidRDefault="00AA2459" w:rsidP="00AA2459">
      <w:pPr>
        <w:pStyle w:val="ListParagraph"/>
        <w:jc w:val="both"/>
        <w:rPr>
          <w:rFonts w:eastAsia="Times New Roman" w:cs="Times New Roman"/>
        </w:rPr>
      </w:pPr>
      <w:r w:rsidRPr="00AA2459">
        <w:rPr>
          <w:rFonts w:eastAsia="Times New Roman" w:cs="Times New Roman"/>
        </w:rPr>
        <w:t xml:space="preserve">Το 1931 τα ανταλλάξιµα κτήµατα παραχωρήθηκαν µε συµβόλαια ιδιοκτησίας στους πρόσφυγες, αλλά και σε ακτήµονες της Λέσβου. Οι πρόσφυγες Αϊβαλιώτες πίστευαν ότι αδικούνταν µε αυτή τη διευθέτηση κι έχοντας στο µεταξύ στείλει και Αϊβαλιώτη βουλευτή στη Βουλή, τον γιατρό Κ. Σίµο, συγκρότησαν αµέσως Επιτροπή και ξεσηκώθηκαν για να σταµατήσει η διαδικασία της παραχώρησης των ανταλλάξιµων στους ντόπιους ακτήµονες. Έστειλαν τηλεγραφήµατα στην κυβέρνηση µε την έµµεση απειλή ότι θα βρουν τρόπο να διεκδικήσουν από µιαν επόµενη κυβέρνηση, την οποία βέβαια θα υποστήριζαν µε την ψήφο τους, τα νόµιµα δικαιώµατά τους. Και για να αποδείξουν ότι στο αίτηµά τους αυτό ήταν όλοι ενωµένοι υπέγραφαν ως «Κοινότης Κυδωνιών και Μοσχονησίων», τίτλος όµως που δεν ανταποκρινόταν στην πραγµατικότητα, αφού δεν είχαν κατορθώσει να εγκατασταθούν όλοι σ’ ένα χωριό και να αποτελέσουν µια κοινότητα µαζί µε τους Μοσχονήσιους. </w:t>
      </w:r>
    </w:p>
    <w:p w14:paraId="66E53030" w14:textId="77777777" w:rsidR="00AA2459" w:rsidRPr="00AA2459" w:rsidRDefault="00AA2459" w:rsidP="00AA2459">
      <w:pPr>
        <w:pStyle w:val="ListParagraph"/>
        <w:jc w:val="both"/>
        <w:rPr>
          <w:rFonts w:eastAsia="Times New Roman" w:cs="Times New Roman"/>
        </w:rPr>
      </w:pPr>
      <w:r w:rsidRPr="00AA2459">
        <w:rPr>
          <w:rFonts w:eastAsia="Times New Roman" w:cs="Times New Roman"/>
        </w:rPr>
        <w:t xml:space="preserve">Η απογοήτευση των προσφύγων ήταν µεγάλη. Πίστευαν ότι είχαν χάσει την πατρίδα τους εξαιτίας της Μικρασιατικής Εκστρατείας και ότι αντί να βρουν κατανόηση και συµπαράσταση εισέπραξαν την κακοπιστία των ντόπιων και του Ελληνικού ∆ηµοσίου. «Πρόσφιγγες και πρόσφυγες, µαζώµατα και ακρίδες και βενιζελόµουτρα, αλλά εµάς χαλάσανε την πατρίδα µας, το Αϊβαλί, και φύγανε από εδώ οι Τούρκοι κι ήρθαµε εµείς κι έγιναν κι οι ντόπιοι, οι ξεβράκωτοι, νοικοκυραίοι. Εµάς εκµεταλλεύτηκαν, αλλά και πάλι νοικοκυραίοι σαν εµάς δεν έγιναν». </w:t>
      </w:r>
    </w:p>
    <w:p w14:paraId="01767EF4" w14:textId="77777777" w:rsidR="00AA2459" w:rsidRPr="00AA2459" w:rsidRDefault="00AA2459" w:rsidP="00AA2459">
      <w:pPr>
        <w:pStyle w:val="ListParagraph"/>
        <w:jc w:val="both"/>
        <w:rPr>
          <w:rFonts w:eastAsia="Times New Roman" w:cs="Times New Roman"/>
        </w:rPr>
      </w:pPr>
      <w:r w:rsidRPr="00AA2459">
        <w:rPr>
          <w:rFonts w:eastAsia="Times New Roman" w:cs="Times New Roman"/>
        </w:rPr>
        <w:t xml:space="preserve">Η κυβέρνηση Βενιζέλου τελικά παραχώρησε, το χειµώνα του 1930, παρά τις έντονες αντιδράσεις των αγροτών Αϊβαλιωτών και των άλλων προσφύγων, κλήρο στους ντόπιους ακτήµονες. Η παραχώρηση αυτή επέδρασε κατευναστικά πάνω στους ντόπιους και έµµεσα ωφέλησε τους πρόσφυγες, αφού µειώθηκε κάπως η ένταση που δηµιουργούσαν οι συγκρουόµενες διεκδικήσεις των ανταλλάξιµων κτηµάτων στα µεικτά χωριά. «Κλήρο δεν πήραµε µόνο εµείς, αλλά και οι ακτήµονες. Γι’ αυτό όταν λέγανε ότι: ‘Ήρθαµε πρόσφυγες για να τους φάµε το ψωµί’, εµείς τους λέγαµε ότι: ‘Εµείς είµαστε εκείνοι που ξεσπιτωθήκαµε και γίναµε αφορµή να φύγουν οι Τούρκοι από ’δω για να πάρουν και αυτοί κτήµα, που σ’ εµάς, στο Αϊβαλί, είχε και ο φτωχότερος’».  </w:t>
      </w:r>
    </w:p>
    <w:p w14:paraId="39F0FE21" w14:textId="77777777" w:rsidR="00AA2459" w:rsidRPr="00AA2459" w:rsidRDefault="00AA2459" w:rsidP="00AA2459">
      <w:pPr>
        <w:jc w:val="both"/>
        <w:rPr>
          <w:rFonts w:eastAsia="Times New Roman" w:cs="Times New Roman"/>
          <w:b/>
          <w:sz w:val="28"/>
          <w:szCs w:val="28"/>
        </w:rPr>
      </w:pPr>
    </w:p>
    <w:p w14:paraId="6D520743" w14:textId="77777777" w:rsidR="00273617" w:rsidRPr="00AA2459" w:rsidRDefault="00AA2459" w:rsidP="00AA2459">
      <w:pPr>
        <w:jc w:val="both"/>
        <w:rPr>
          <w:rFonts w:eastAsia="Times New Roman" w:cs="Times New Roman"/>
          <w:b/>
          <w:sz w:val="28"/>
          <w:szCs w:val="28"/>
        </w:rPr>
      </w:pPr>
      <w:r w:rsidRPr="00AA2459">
        <w:rPr>
          <w:rFonts w:eastAsia="Times New Roman" w:cs="Times New Roman"/>
          <w:b/>
          <w:sz w:val="28"/>
          <w:szCs w:val="28"/>
        </w:rPr>
        <w:t xml:space="preserve">Αφού µελετήσετε την παραπάνω πηγή και µε βάση τις γνώσεις σας από το σχολικό βιβλίο να αναφερθείτε: α) στα αιτήµατα των προσφύγων σε σχέση µε τα ανταλλάξιµα β) στις σχέσεις τους µε τους ντόπιους. </w:t>
      </w:r>
      <w:bookmarkStart w:id="0" w:name="_GoBack"/>
      <w:bookmarkEnd w:id="0"/>
    </w:p>
    <w:p w14:paraId="7EED8162" w14:textId="77777777" w:rsidR="00F27ADA" w:rsidRPr="00AA2459" w:rsidRDefault="00F27ADA" w:rsidP="00273617">
      <w:pPr>
        <w:jc w:val="both"/>
        <w:rPr>
          <w:color w:val="0D0D0D" w:themeColor="text1" w:themeTint="F2"/>
          <w:sz w:val="28"/>
          <w:szCs w:val="28"/>
        </w:rPr>
      </w:pPr>
    </w:p>
    <w:sectPr w:rsidR="00F27ADA" w:rsidRPr="00AA2459" w:rsidSect="00A0465F">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88835" w14:textId="77777777" w:rsidR="001128C3" w:rsidRDefault="001128C3" w:rsidP="00B57166">
      <w:r>
        <w:separator/>
      </w:r>
    </w:p>
  </w:endnote>
  <w:endnote w:type="continuationSeparator" w:id="0">
    <w:p w14:paraId="1631784E" w14:textId="77777777" w:rsidR="001128C3" w:rsidRDefault="001128C3" w:rsidP="00B5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72AAD" w14:textId="77777777" w:rsidR="00B57166" w:rsidRDefault="00B57166" w:rsidP="00F518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A99B3" w14:textId="77777777" w:rsidR="00B57166" w:rsidRDefault="00B571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DFE2D" w14:textId="77777777" w:rsidR="00B57166" w:rsidRDefault="00B57166" w:rsidP="00F518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8C3">
      <w:rPr>
        <w:rStyle w:val="PageNumber"/>
        <w:noProof/>
      </w:rPr>
      <w:t>1</w:t>
    </w:r>
    <w:r>
      <w:rPr>
        <w:rStyle w:val="PageNumber"/>
      </w:rPr>
      <w:fldChar w:fldCharType="end"/>
    </w:r>
  </w:p>
  <w:p w14:paraId="16092505" w14:textId="77777777" w:rsidR="00B57166" w:rsidRDefault="00B571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20F06" w14:textId="77777777" w:rsidR="001128C3" w:rsidRDefault="001128C3" w:rsidP="00B57166">
      <w:r>
        <w:separator/>
      </w:r>
    </w:p>
  </w:footnote>
  <w:footnote w:type="continuationSeparator" w:id="0">
    <w:p w14:paraId="286F0BE8" w14:textId="77777777" w:rsidR="001128C3" w:rsidRDefault="001128C3" w:rsidP="00B571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C3785"/>
    <w:multiLevelType w:val="hybridMultilevel"/>
    <w:tmpl w:val="D616B72C"/>
    <w:lvl w:ilvl="0" w:tplc="8DEABEEC">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17"/>
    <w:rsid w:val="001128C3"/>
    <w:rsid w:val="00273617"/>
    <w:rsid w:val="00A0465F"/>
    <w:rsid w:val="00AA2459"/>
    <w:rsid w:val="00B57166"/>
    <w:rsid w:val="00F2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8D0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617"/>
    <w:pPr>
      <w:ind w:left="720"/>
      <w:contextualSpacing/>
    </w:pPr>
  </w:style>
  <w:style w:type="paragraph" w:styleId="Footer">
    <w:name w:val="footer"/>
    <w:basedOn w:val="Normal"/>
    <w:link w:val="FooterChar"/>
    <w:uiPriority w:val="99"/>
    <w:unhideWhenUsed/>
    <w:rsid w:val="00B57166"/>
    <w:pPr>
      <w:tabs>
        <w:tab w:val="center" w:pos="4153"/>
        <w:tab w:val="right" w:pos="8306"/>
      </w:tabs>
    </w:pPr>
  </w:style>
  <w:style w:type="character" w:customStyle="1" w:styleId="FooterChar">
    <w:name w:val="Footer Char"/>
    <w:basedOn w:val="DefaultParagraphFont"/>
    <w:link w:val="Footer"/>
    <w:uiPriority w:val="99"/>
    <w:rsid w:val="00B57166"/>
    <w:rPr>
      <w:lang w:val="el-GR"/>
    </w:rPr>
  </w:style>
  <w:style w:type="character" w:styleId="PageNumber">
    <w:name w:val="page number"/>
    <w:basedOn w:val="DefaultParagraphFont"/>
    <w:uiPriority w:val="99"/>
    <w:semiHidden/>
    <w:unhideWhenUsed/>
    <w:rsid w:val="00B5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445584">
      <w:bodyDiv w:val="1"/>
      <w:marLeft w:val="0"/>
      <w:marRight w:val="0"/>
      <w:marTop w:val="0"/>
      <w:marBottom w:val="0"/>
      <w:divBdr>
        <w:top w:val="none" w:sz="0" w:space="0" w:color="auto"/>
        <w:left w:val="none" w:sz="0" w:space="0" w:color="auto"/>
        <w:bottom w:val="none" w:sz="0" w:space="0" w:color="auto"/>
        <w:right w:val="none" w:sz="0" w:space="0" w:color="auto"/>
      </w:divBdr>
    </w:div>
    <w:div w:id="1336805438">
      <w:bodyDiv w:val="1"/>
      <w:marLeft w:val="0"/>
      <w:marRight w:val="0"/>
      <w:marTop w:val="0"/>
      <w:marBottom w:val="0"/>
      <w:divBdr>
        <w:top w:val="none" w:sz="0" w:space="0" w:color="auto"/>
        <w:left w:val="none" w:sz="0" w:space="0" w:color="auto"/>
        <w:bottom w:val="none" w:sz="0" w:space="0" w:color="auto"/>
        <w:right w:val="none" w:sz="0" w:space="0" w:color="auto"/>
      </w:divBdr>
    </w:div>
    <w:div w:id="18438862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1513</Words>
  <Characters>8628</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2021-03-07T06:04:00Z</dcterms:created>
  <dcterms:modified xsi:type="dcterms:W3CDTF">2021-03-07T06:27:00Z</dcterms:modified>
</cp:coreProperties>
</file>